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lang w:val="en-US" w:eastAsia="zh-CN"/>
        </w:rPr>
        <w:t>20</w:t>
      </w:r>
      <w:r>
        <w:rPr>
          <w:rFonts w:ascii="Arial" w:hAnsi="Arial" w:eastAsia="宋体"/>
          <w:b/>
          <w:bCs/>
          <w:sz w:val="24"/>
          <w:lang w:val="en-GB" w:eastAsia="ja-JP"/>
        </w:rPr>
        <w:tab/>
      </w:r>
      <w:r>
        <w:rPr>
          <w:rFonts w:hint="eastAsia" w:ascii="Arial" w:hAnsi="Arial" w:eastAsia="宋体"/>
          <w:b/>
          <w:bCs/>
          <w:sz w:val="24"/>
          <w:lang w:val="en-GB" w:eastAsia="ja-JP"/>
        </w:rPr>
        <w:t>R2-2211799</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Toulouse, France, November, 2022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w:t>
      </w:r>
      <w:bookmarkStart w:id="3" w:name="_GoBack"/>
      <w:bookmarkEnd w:id="3"/>
      <w:r>
        <w:rPr>
          <w:rFonts w:hint="eastAsia" w:ascii="Arial" w:hAnsi="Arial" w:cs="Arial"/>
          <w:b/>
          <w:bCs/>
          <w:snapToGrid w:val="0"/>
          <w:kern w:val="0"/>
          <w:sz w:val="24"/>
          <w:lang w:val="en-US" w:eastAsia="zh-CN"/>
        </w:rPr>
        <w:t>n subscription-based identification for NR UAV</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8.8.3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kinsoku/>
        <w:wordWrap/>
        <w:overflowPunct/>
        <w:topLinePunct w:val="0"/>
        <w:autoSpaceDE/>
        <w:autoSpaceDN/>
        <w:bidi w:val="0"/>
        <w:adjustRightInd/>
        <w:snapToGrid/>
        <w:spacing w:after="120" w:line="20" w:lineRule="atLeast"/>
        <w:textAlignment w:val="auto"/>
        <w:rPr>
          <w:rFonts w:hint="default" w:ascii="Times New Roman" w:hAnsi="Times New Roman" w:cs="Times New Roman"/>
          <w:b/>
          <w:bCs/>
          <w:color w:val="008000"/>
          <w:sz w:val="20"/>
          <w:szCs w:val="20"/>
          <w:lang w:val="en-US"/>
        </w:rPr>
      </w:pPr>
      <w:bookmarkStart w:id="2" w:name="OLE_LINK1"/>
      <w:r>
        <w:rPr>
          <w:rFonts w:hint="default" w:ascii="Times New Roman" w:hAnsi="Times New Roman" w:cs="Times New Roman"/>
          <w:sz w:val="20"/>
          <w:szCs w:val="20"/>
          <w:highlight w:val="none"/>
          <w:lang w:val="en-US" w:eastAsia="zh-CN"/>
        </w:rPr>
        <w:t>In last RAN3 meeting</w:t>
      </w:r>
      <w:r>
        <w:rPr>
          <w:rFonts w:hint="eastAsia"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val="en-US" w:eastAsia="zh-CN"/>
        </w:rPr>
        <w:t xml:space="preserve">, it was agree </w:t>
      </w:r>
      <w:r>
        <w:rPr>
          <w:rFonts w:hint="default" w:ascii="Times New Roman" w:hAnsi="Times New Roman" w:cs="Times New Roman"/>
          <w:sz w:val="20"/>
          <w:szCs w:val="20"/>
          <w:lang w:val="en-US" w:eastAsia="zh-CN"/>
        </w:rPr>
        <w:t>to introduce Aerial UE Subscription Information IE over NGAP in INITIAL CONTEXT SETUP, UE CONTEXT MODIFICATION, HANDOVER REQUEST, PATH SWITCH REQUEST ACKNOWLEDGE messages, and the Aerial UE Subscription Information IE is based on LTE format with code points ENUMERATED (allowed, not allowed, …).</w:t>
      </w:r>
    </w:p>
    <w:p>
      <w:pPr>
        <w:keepNext w:val="0"/>
        <w:keepLines w:val="0"/>
        <w:pageBreakBefore w:val="0"/>
        <w:widowControl w:val="0"/>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There are two remaining issues that are pending to RAN2 progress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tcPr>
          <w:p>
            <w:pPr>
              <w:keepNext w:val="0"/>
              <w:keepLines w:val="0"/>
              <w:pageBreakBefore w:val="0"/>
              <w:widowControl w:val="0"/>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Whether any other codepoints needed are pending to RAN2 progress</w:t>
            </w:r>
          </w:p>
          <w:p>
            <w:pPr>
              <w:keepNext w:val="0"/>
              <w:keepLines w:val="0"/>
              <w:pageBreakBefore w:val="0"/>
              <w:widowControl w:val="0"/>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Inter-RAT or DC scenarios is subject to RAN2 progress and FFS.</w:t>
            </w:r>
          </w:p>
        </w:tc>
      </w:tr>
    </w:tbl>
    <w:p>
      <w:pPr>
        <w:keepNext w:val="0"/>
        <w:keepLines w:val="0"/>
        <w:pageBreakBefore w:val="0"/>
        <w:widowControl w:val="0"/>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This contribution provides our consideration based on RAN’3 agreement and remaining issues.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hint="eastAsia"/>
          <w:sz w:val="20"/>
          <w:szCs w:val="20"/>
          <w:lang w:val="en-US" w:eastAsia="zh-CN"/>
        </w:rPr>
      </w:pPr>
      <w:r>
        <w:rPr>
          <w:rFonts w:hint="eastAsia"/>
          <w:sz w:val="20"/>
          <w:szCs w:val="20"/>
          <w:lang w:val="en-US" w:eastAsia="zh-CN"/>
        </w:rPr>
        <w:t>Considering the radio environment in the air, the NR coverage may not be continuous. Thus to support inter-RAT mobility is an important way to provide continuous service. From target node point of view, it needs to know whether the UAV UE is allowed to use UAV functions, i.e. the subscription information should be transferred to target node during inter-RAT handover. The detailed solution should be discuss in RAN3.</w:t>
      </w:r>
    </w:p>
    <w:p>
      <w:pPr>
        <w:keepNext w:val="0"/>
        <w:keepLines w:val="0"/>
        <w:pageBreakBefore w:val="0"/>
        <w:widowControl w:val="0"/>
        <w:kinsoku/>
        <w:wordWrap/>
        <w:overflowPunct/>
        <w:topLinePunct w:val="0"/>
        <w:autoSpaceDE/>
        <w:autoSpaceDN/>
        <w:bidi w:val="0"/>
        <w:adjustRightInd/>
        <w:snapToGrid/>
        <w:spacing w:after="120" w:line="240" w:lineRule="auto"/>
        <w:ind w:left="1022" w:leftChars="0" w:hanging="1022" w:hangingChars="509"/>
        <w:jc w:val="both"/>
        <w:textAlignment w:val="auto"/>
        <w:rPr>
          <w:rFonts w:hint="eastAsia"/>
          <w:b/>
          <w:bCs/>
          <w:sz w:val="20"/>
          <w:szCs w:val="20"/>
          <w:lang w:val="en-US" w:eastAsia="zh-CN"/>
        </w:rPr>
      </w:pPr>
      <w:r>
        <w:rPr>
          <w:rFonts w:hint="eastAsia"/>
          <w:b/>
          <w:bCs/>
          <w:sz w:val="20"/>
          <w:szCs w:val="20"/>
          <w:lang w:val="en-US" w:eastAsia="zh-CN"/>
        </w:rPr>
        <w:t xml:space="preserve">Proposal 1: RAN2 to discuss whether inter-RAT mobility is supported for UAV UE. </w:t>
      </w:r>
    </w:p>
    <w:p>
      <w:pPr>
        <w:keepNext w:val="0"/>
        <w:keepLines w:val="0"/>
        <w:pageBreakBefore w:val="0"/>
        <w:widowControl w:val="0"/>
        <w:kinsoku/>
        <w:wordWrap/>
        <w:overflowPunct/>
        <w:topLinePunct w:val="0"/>
        <w:autoSpaceDE/>
        <w:autoSpaceDN/>
        <w:bidi w:val="0"/>
        <w:adjustRightInd/>
        <w:snapToGrid/>
        <w:spacing w:after="120" w:line="240" w:lineRule="auto"/>
        <w:ind w:left="1022" w:leftChars="0" w:hanging="1022" w:hangingChars="509"/>
        <w:jc w:val="both"/>
        <w:textAlignment w:val="auto"/>
        <w:rPr>
          <w:rFonts w:hint="eastAsia"/>
          <w:sz w:val="20"/>
          <w:szCs w:val="20"/>
          <w:lang w:val="en-US" w:eastAsia="zh-CN"/>
        </w:rPr>
      </w:pPr>
      <w:r>
        <w:rPr>
          <w:rFonts w:hint="eastAsia"/>
          <w:b/>
          <w:bCs/>
          <w:sz w:val="20"/>
          <w:szCs w:val="20"/>
          <w:lang w:val="en-US" w:eastAsia="zh-CN"/>
        </w:rPr>
        <w:t>Proposal 2: If inter-RAT mobility is supported for UAV UE, target node should be indicated of UAV UE</w:t>
      </w:r>
      <w:r>
        <w:rPr>
          <w:rFonts w:hint="default"/>
          <w:b/>
          <w:bCs/>
          <w:sz w:val="20"/>
          <w:szCs w:val="20"/>
          <w:lang w:val="en-US" w:eastAsia="zh-CN"/>
        </w:rPr>
        <w:t>’</w:t>
      </w:r>
      <w:r>
        <w:rPr>
          <w:rFonts w:hint="eastAsia"/>
          <w:b/>
          <w:bCs/>
          <w:sz w:val="20"/>
          <w:szCs w:val="20"/>
          <w:lang w:val="en-US" w:eastAsia="zh-CN"/>
        </w:rPr>
        <w:t xml:space="preserve">s subscription information. The detailed solution is up to RAN3. </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hint="eastAsia"/>
          <w:sz w:val="20"/>
          <w:szCs w:val="20"/>
          <w:lang w:val="en-US" w:eastAsia="zh-CN"/>
        </w:rPr>
      </w:pPr>
      <w:r>
        <w:rPr>
          <w:rFonts w:hint="eastAsia"/>
          <w:sz w:val="20"/>
          <w:szCs w:val="20"/>
          <w:lang w:val="en-US" w:eastAsia="zh-CN"/>
        </w:rPr>
        <w:t>MR-DC configuration can provide high throughput and more stable connectivity. This is important for some high end applications. And for a high end UAV UE, the cost to support MR-DC is not a big problem. Considering the complicated radio environment, we think it is reasonable to consider MR-DC support for UAV UE.</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hint="default"/>
          <w:b/>
          <w:bCs/>
          <w:sz w:val="20"/>
          <w:szCs w:val="20"/>
          <w:lang w:val="en-US" w:eastAsia="zh-CN"/>
        </w:rPr>
      </w:pPr>
      <w:r>
        <w:rPr>
          <w:rFonts w:hint="eastAsia"/>
          <w:b/>
          <w:bCs/>
          <w:sz w:val="20"/>
          <w:szCs w:val="20"/>
          <w:lang w:val="en-US" w:eastAsia="zh-CN"/>
        </w:rPr>
        <w:t>Proposal 3: RAN2 to discuss whether MR-DC can be supported for UAV UE.</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hint="default"/>
          <w:b w:val="0"/>
          <w:bCs w:val="0"/>
          <w:sz w:val="20"/>
          <w:szCs w:val="20"/>
          <w:lang w:val="en-US" w:eastAsia="zh-CN"/>
        </w:rPr>
      </w:pPr>
      <w:r>
        <w:rPr>
          <w:rFonts w:hint="eastAsia"/>
          <w:b w:val="0"/>
          <w:bCs w:val="0"/>
          <w:sz w:val="20"/>
          <w:szCs w:val="20"/>
          <w:lang w:val="en-US" w:eastAsia="zh-CN"/>
        </w:rPr>
        <w:t>In MR-DC configuration, the subscription information should be applicable in SN side since MN and SN share the same CN. Thus if UAV function is allowed in MN side, SN should be able to configure UAV functions.</w:t>
      </w:r>
    </w:p>
    <w:p>
      <w:pPr>
        <w:keepNext w:val="0"/>
        <w:keepLines w:val="0"/>
        <w:pageBreakBefore w:val="0"/>
        <w:widowControl w:val="0"/>
        <w:kinsoku/>
        <w:wordWrap/>
        <w:overflowPunct/>
        <w:topLinePunct w:val="0"/>
        <w:autoSpaceDE/>
        <w:autoSpaceDN/>
        <w:bidi w:val="0"/>
        <w:adjustRightInd/>
        <w:snapToGrid/>
        <w:spacing w:after="120" w:line="240" w:lineRule="auto"/>
        <w:ind w:left="1022" w:leftChars="0" w:hanging="1022" w:hangingChars="509"/>
        <w:jc w:val="both"/>
        <w:textAlignment w:val="auto"/>
        <w:rPr>
          <w:rFonts w:hint="eastAsia"/>
          <w:b/>
          <w:bCs/>
          <w:sz w:val="20"/>
          <w:szCs w:val="20"/>
          <w:lang w:val="en-US" w:eastAsia="zh-CN"/>
        </w:rPr>
      </w:pPr>
      <w:r>
        <w:rPr>
          <w:rFonts w:hint="eastAsia"/>
          <w:b/>
          <w:bCs/>
          <w:sz w:val="20"/>
          <w:szCs w:val="20"/>
          <w:lang w:val="en-US" w:eastAsia="zh-CN"/>
        </w:rPr>
        <w:t xml:space="preserve">Proposal 4: In MR-DC configuration, the subscription information is also applicable in SN side. </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hint="default"/>
          <w:b w:val="0"/>
          <w:bCs w:val="0"/>
          <w:sz w:val="20"/>
          <w:szCs w:val="20"/>
          <w:lang w:val="en-US" w:eastAsia="zh-CN"/>
        </w:rPr>
      </w:pPr>
      <w:r>
        <w:rPr>
          <w:rFonts w:hint="eastAsia"/>
          <w:b w:val="0"/>
          <w:bCs w:val="0"/>
          <w:sz w:val="20"/>
          <w:szCs w:val="20"/>
          <w:lang w:val="en-US" w:eastAsia="zh-CN"/>
        </w:rPr>
        <w:t>Thus the subscription information should be transferred to SN. The detailed solution is up to RAN3</w:t>
      </w:r>
    </w:p>
    <w:p>
      <w:pPr>
        <w:keepNext w:val="0"/>
        <w:keepLines w:val="0"/>
        <w:pageBreakBefore w:val="0"/>
        <w:widowControl w:val="0"/>
        <w:kinsoku/>
        <w:wordWrap/>
        <w:overflowPunct/>
        <w:topLinePunct w:val="0"/>
        <w:autoSpaceDE/>
        <w:autoSpaceDN/>
        <w:bidi w:val="0"/>
        <w:adjustRightInd/>
        <w:snapToGrid/>
        <w:spacing w:after="120" w:line="240" w:lineRule="auto"/>
        <w:ind w:left="1022" w:leftChars="0" w:hanging="1022" w:hangingChars="509"/>
        <w:jc w:val="both"/>
        <w:textAlignment w:val="auto"/>
        <w:rPr>
          <w:rFonts w:hint="eastAsia"/>
          <w:b/>
          <w:bCs/>
          <w:sz w:val="20"/>
          <w:szCs w:val="20"/>
          <w:lang w:val="en-US" w:eastAsia="zh-CN"/>
        </w:rPr>
      </w:pPr>
      <w:r>
        <w:rPr>
          <w:rFonts w:hint="eastAsia"/>
          <w:b/>
          <w:bCs/>
          <w:sz w:val="20"/>
          <w:szCs w:val="20"/>
          <w:lang w:val="en-US" w:eastAsia="zh-CN"/>
        </w:rPr>
        <w:t>Proposal 5: SN should be informed of subscription information. The detailed solution is up to RAN3.</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kinsoku/>
        <w:wordWrap/>
        <w:overflowPunct/>
        <w:topLinePunct w:val="0"/>
        <w:autoSpaceDE/>
        <w:autoSpaceDN/>
        <w:bidi w:val="0"/>
        <w:adjustRightInd/>
        <w:snapToGrid/>
        <w:spacing w:after="120" w:line="240" w:lineRule="auto"/>
        <w:ind w:left="1022" w:leftChars="0" w:hanging="1022" w:hangingChars="509"/>
        <w:jc w:val="both"/>
        <w:textAlignment w:val="auto"/>
        <w:rPr>
          <w:rFonts w:hint="eastAsia"/>
          <w:b/>
          <w:bCs/>
          <w:sz w:val="20"/>
          <w:szCs w:val="20"/>
          <w:lang w:val="en-US" w:eastAsia="zh-CN"/>
        </w:rPr>
      </w:pPr>
      <w:r>
        <w:rPr>
          <w:rFonts w:hint="eastAsia"/>
          <w:b/>
          <w:bCs/>
          <w:sz w:val="20"/>
          <w:szCs w:val="20"/>
          <w:lang w:val="en-US" w:eastAsia="zh-CN"/>
        </w:rPr>
        <w:t xml:space="preserve">Proposal 1: RAN2 to discuss whether inter-RAT mobility is supported for UAV UE. </w:t>
      </w:r>
    </w:p>
    <w:p>
      <w:pPr>
        <w:keepNext w:val="0"/>
        <w:keepLines w:val="0"/>
        <w:pageBreakBefore w:val="0"/>
        <w:widowControl w:val="0"/>
        <w:kinsoku/>
        <w:wordWrap/>
        <w:overflowPunct/>
        <w:topLinePunct w:val="0"/>
        <w:autoSpaceDE/>
        <w:autoSpaceDN/>
        <w:bidi w:val="0"/>
        <w:adjustRightInd/>
        <w:snapToGrid/>
        <w:spacing w:after="120" w:line="240" w:lineRule="auto"/>
        <w:ind w:left="1022" w:leftChars="0" w:hanging="1022" w:hangingChars="509"/>
        <w:jc w:val="both"/>
        <w:textAlignment w:val="auto"/>
        <w:rPr>
          <w:rFonts w:hint="eastAsia"/>
          <w:b/>
          <w:bCs/>
          <w:sz w:val="20"/>
          <w:szCs w:val="20"/>
          <w:lang w:val="en-US" w:eastAsia="zh-CN"/>
        </w:rPr>
      </w:pPr>
      <w:r>
        <w:rPr>
          <w:rFonts w:hint="eastAsia"/>
          <w:b/>
          <w:bCs/>
          <w:sz w:val="20"/>
          <w:szCs w:val="20"/>
          <w:lang w:val="en-US" w:eastAsia="zh-CN"/>
        </w:rPr>
        <w:t>Proposal 2: If inter-RAT mobility is supported for UAV UE, target node should be indicated of UAV UE</w:t>
      </w:r>
      <w:r>
        <w:rPr>
          <w:rFonts w:hint="default"/>
          <w:b/>
          <w:bCs/>
          <w:sz w:val="20"/>
          <w:szCs w:val="20"/>
          <w:lang w:val="en-US" w:eastAsia="zh-CN"/>
        </w:rPr>
        <w:t>’</w:t>
      </w:r>
      <w:r>
        <w:rPr>
          <w:rFonts w:hint="eastAsia"/>
          <w:b/>
          <w:bCs/>
          <w:sz w:val="20"/>
          <w:szCs w:val="20"/>
          <w:lang w:val="en-US" w:eastAsia="zh-CN"/>
        </w:rPr>
        <w:t xml:space="preserve">s subscription information. The detailed solution is up to RAN3. </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hint="default"/>
          <w:b/>
          <w:bCs/>
          <w:sz w:val="20"/>
          <w:szCs w:val="20"/>
          <w:lang w:val="en-US" w:eastAsia="zh-CN"/>
        </w:rPr>
      </w:pPr>
      <w:r>
        <w:rPr>
          <w:rFonts w:hint="eastAsia"/>
          <w:b/>
          <w:bCs/>
          <w:sz w:val="20"/>
          <w:szCs w:val="20"/>
          <w:lang w:val="en-US" w:eastAsia="zh-CN"/>
        </w:rPr>
        <w:t>Proposal 3: RAN2 to discuss whether MR-DC can be supported for UAV UE.</w:t>
      </w:r>
    </w:p>
    <w:p>
      <w:pPr>
        <w:keepNext w:val="0"/>
        <w:keepLines w:val="0"/>
        <w:pageBreakBefore w:val="0"/>
        <w:widowControl w:val="0"/>
        <w:kinsoku/>
        <w:wordWrap/>
        <w:overflowPunct/>
        <w:topLinePunct w:val="0"/>
        <w:autoSpaceDE/>
        <w:autoSpaceDN/>
        <w:bidi w:val="0"/>
        <w:adjustRightInd/>
        <w:snapToGrid/>
        <w:spacing w:after="120" w:line="240" w:lineRule="auto"/>
        <w:ind w:left="1022" w:leftChars="0" w:hanging="1022" w:hangingChars="509"/>
        <w:jc w:val="both"/>
        <w:textAlignment w:val="auto"/>
        <w:rPr>
          <w:rFonts w:hint="eastAsia"/>
          <w:b/>
          <w:bCs/>
          <w:sz w:val="20"/>
          <w:szCs w:val="20"/>
          <w:lang w:val="en-US" w:eastAsia="zh-CN"/>
        </w:rPr>
      </w:pPr>
      <w:r>
        <w:rPr>
          <w:rFonts w:hint="eastAsia"/>
          <w:b/>
          <w:bCs/>
          <w:sz w:val="20"/>
          <w:szCs w:val="20"/>
          <w:lang w:val="en-US" w:eastAsia="zh-CN"/>
        </w:rPr>
        <w:t xml:space="preserve">Proposal 4: In MR-DC configuration, the subscription information is also applicable SN side. </w:t>
      </w:r>
    </w:p>
    <w:p>
      <w:pPr>
        <w:keepNext w:val="0"/>
        <w:keepLines w:val="0"/>
        <w:pageBreakBefore w:val="0"/>
        <w:widowControl w:val="0"/>
        <w:kinsoku/>
        <w:wordWrap/>
        <w:overflowPunct/>
        <w:topLinePunct w:val="0"/>
        <w:autoSpaceDE/>
        <w:autoSpaceDN/>
        <w:bidi w:val="0"/>
        <w:adjustRightInd/>
        <w:snapToGrid/>
        <w:spacing w:after="120" w:line="240" w:lineRule="auto"/>
        <w:ind w:left="1022" w:leftChars="0" w:hanging="1022" w:hangingChars="509"/>
        <w:jc w:val="both"/>
        <w:textAlignment w:val="auto"/>
        <w:rPr>
          <w:rFonts w:hint="eastAsia"/>
          <w:b/>
          <w:bCs/>
          <w:sz w:val="20"/>
          <w:szCs w:val="20"/>
          <w:lang w:val="en-US" w:eastAsia="zh-CN"/>
        </w:rPr>
      </w:pPr>
      <w:r>
        <w:rPr>
          <w:rFonts w:hint="eastAsia"/>
          <w:b/>
          <w:bCs/>
          <w:sz w:val="20"/>
          <w:szCs w:val="20"/>
          <w:lang w:val="en-US" w:eastAsia="zh-CN"/>
        </w:rPr>
        <w:t>Proposal 5: SN should be informed of subscription information. The detailed solution is up to RAN3.</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hint="default"/>
          <w:b w:val="0"/>
          <w:bCs w:val="0"/>
          <w:sz w:val="20"/>
          <w:szCs w:val="20"/>
          <w:lang w:val="en-US" w:eastAsia="zh-CN"/>
        </w:rPr>
      </w:pPr>
      <w:r>
        <w:rPr>
          <w:rFonts w:hint="eastAsia"/>
          <w:b w:val="0"/>
          <w:bCs w:val="0"/>
          <w:sz w:val="20"/>
          <w:szCs w:val="20"/>
          <w:lang w:val="en-US" w:eastAsia="zh-CN"/>
        </w:rPr>
        <w:t>[1] RAN3# chairman notes</w:t>
      </w:r>
    </w:p>
    <w:sectPr>
      <w:pgSz w:w="11906" w:h="16838"/>
      <w:pgMar w:top="1440" w:right="975"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C4B5A"/>
    <w:rsid w:val="022D295E"/>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A0175"/>
    <w:rsid w:val="051E36E6"/>
    <w:rsid w:val="0526323F"/>
    <w:rsid w:val="053166CA"/>
    <w:rsid w:val="05332C41"/>
    <w:rsid w:val="054C7D3F"/>
    <w:rsid w:val="054D4214"/>
    <w:rsid w:val="05526E77"/>
    <w:rsid w:val="056D39BD"/>
    <w:rsid w:val="058267E3"/>
    <w:rsid w:val="058442CB"/>
    <w:rsid w:val="05961927"/>
    <w:rsid w:val="05AE79A1"/>
    <w:rsid w:val="05B21BDC"/>
    <w:rsid w:val="05D1713F"/>
    <w:rsid w:val="05D92123"/>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D382E"/>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522E3"/>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97562A"/>
    <w:rsid w:val="0CB47222"/>
    <w:rsid w:val="0CB5613D"/>
    <w:rsid w:val="0CCA31B6"/>
    <w:rsid w:val="0CCE60AE"/>
    <w:rsid w:val="0CD61581"/>
    <w:rsid w:val="0CE2368A"/>
    <w:rsid w:val="0CE55396"/>
    <w:rsid w:val="0CF31DF7"/>
    <w:rsid w:val="0CF40AF8"/>
    <w:rsid w:val="0D041213"/>
    <w:rsid w:val="0D1F6EAF"/>
    <w:rsid w:val="0D2C3BFA"/>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B20497"/>
    <w:rsid w:val="10B2230B"/>
    <w:rsid w:val="10BA6965"/>
    <w:rsid w:val="10C91FA9"/>
    <w:rsid w:val="10D80BBB"/>
    <w:rsid w:val="10DC7FF8"/>
    <w:rsid w:val="10E925AB"/>
    <w:rsid w:val="110651DD"/>
    <w:rsid w:val="110A40E9"/>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9E7EAE"/>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C14AA"/>
    <w:rsid w:val="15823994"/>
    <w:rsid w:val="159260CF"/>
    <w:rsid w:val="15946A48"/>
    <w:rsid w:val="15947046"/>
    <w:rsid w:val="15951987"/>
    <w:rsid w:val="15A0619E"/>
    <w:rsid w:val="15B72752"/>
    <w:rsid w:val="15BA166F"/>
    <w:rsid w:val="15BD418E"/>
    <w:rsid w:val="15C72685"/>
    <w:rsid w:val="15C828CD"/>
    <w:rsid w:val="15CB3F81"/>
    <w:rsid w:val="15D36327"/>
    <w:rsid w:val="15EB2AA9"/>
    <w:rsid w:val="15F4371E"/>
    <w:rsid w:val="15FD7743"/>
    <w:rsid w:val="160F2C35"/>
    <w:rsid w:val="161C2166"/>
    <w:rsid w:val="16203964"/>
    <w:rsid w:val="162810CA"/>
    <w:rsid w:val="16314D23"/>
    <w:rsid w:val="16326F8F"/>
    <w:rsid w:val="16542691"/>
    <w:rsid w:val="16545026"/>
    <w:rsid w:val="165663D1"/>
    <w:rsid w:val="16585FCB"/>
    <w:rsid w:val="16620331"/>
    <w:rsid w:val="16657E45"/>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B3A7D"/>
    <w:rsid w:val="175454DC"/>
    <w:rsid w:val="17636FAF"/>
    <w:rsid w:val="17702879"/>
    <w:rsid w:val="177761B3"/>
    <w:rsid w:val="177B281C"/>
    <w:rsid w:val="178424FA"/>
    <w:rsid w:val="178D2C84"/>
    <w:rsid w:val="178D7F71"/>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5578B"/>
    <w:rsid w:val="19FA1601"/>
    <w:rsid w:val="19FC4936"/>
    <w:rsid w:val="1A112EAE"/>
    <w:rsid w:val="1A1D6630"/>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6C2DB6"/>
    <w:rsid w:val="1B741476"/>
    <w:rsid w:val="1B793426"/>
    <w:rsid w:val="1B801536"/>
    <w:rsid w:val="1B8260BC"/>
    <w:rsid w:val="1B8A2061"/>
    <w:rsid w:val="1B8F3D59"/>
    <w:rsid w:val="1BAA2BCF"/>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E29BC"/>
    <w:rsid w:val="1E721FE6"/>
    <w:rsid w:val="1E842EE0"/>
    <w:rsid w:val="1E88579D"/>
    <w:rsid w:val="1E897C5E"/>
    <w:rsid w:val="1EA5131C"/>
    <w:rsid w:val="1EAC0652"/>
    <w:rsid w:val="1EB46E41"/>
    <w:rsid w:val="1EBB708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332AD"/>
    <w:rsid w:val="223F2906"/>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C1D69"/>
    <w:rsid w:val="2BBF1E23"/>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187C1B"/>
    <w:rsid w:val="331B6EDE"/>
    <w:rsid w:val="332722F8"/>
    <w:rsid w:val="3329571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52AFF"/>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C75A14"/>
    <w:rsid w:val="37D51DFC"/>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B7B16"/>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E006C5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5675"/>
    <w:rsid w:val="424F7E66"/>
    <w:rsid w:val="425024B5"/>
    <w:rsid w:val="4279133E"/>
    <w:rsid w:val="427B56B5"/>
    <w:rsid w:val="42850BB4"/>
    <w:rsid w:val="429F4867"/>
    <w:rsid w:val="42A31ABC"/>
    <w:rsid w:val="42B876D7"/>
    <w:rsid w:val="42C12743"/>
    <w:rsid w:val="42C37F87"/>
    <w:rsid w:val="42C41CFF"/>
    <w:rsid w:val="42D44C59"/>
    <w:rsid w:val="42DC7FA5"/>
    <w:rsid w:val="42DE73EB"/>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30797B"/>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C6E96"/>
    <w:rsid w:val="493779BE"/>
    <w:rsid w:val="493F499D"/>
    <w:rsid w:val="4940480E"/>
    <w:rsid w:val="494139AE"/>
    <w:rsid w:val="49446442"/>
    <w:rsid w:val="494E7EAB"/>
    <w:rsid w:val="49597EFF"/>
    <w:rsid w:val="49657721"/>
    <w:rsid w:val="49683F5D"/>
    <w:rsid w:val="497A3B0D"/>
    <w:rsid w:val="49825CBE"/>
    <w:rsid w:val="49A67A57"/>
    <w:rsid w:val="49AD250C"/>
    <w:rsid w:val="49AF05DA"/>
    <w:rsid w:val="49B839C4"/>
    <w:rsid w:val="49CB3BD0"/>
    <w:rsid w:val="49D94FE5"/>
    <w:rsid w:val="49DC4ED9"/>
    <w:rsid w:val="49F43B8C"/>
    <w:rsid w:val="49F5395A"/>
    <w:rsid w:val="49F678F8"/>
    <w:rsid w:val="4A0D10B0"/>
    <w:rsid w:val="4A223490"/>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10363F"/>
    <w:rsid w:val="4C23594D"/>
    <w:rsid w:val="4C2941CA"/>
    <w:rsid w:val="4C2E7524"/>
    <w:rsid w:val="4C3729C6"/>
    <w:rsid w:val="4C380520"/>
    <w:rsid w:val="4C3979DB"/>
    <w:rsid w:val="4C3D2514"/>
    <w:rsid w:val="4C3E0FF7"/>
    <w:rsid w:val="4C4128E4"/>
    <w:rsid w:val="4C423AC8"/>
    <w:rsid w:val="4C642696"/>
    <w:rsid w:val="4C702E79"/>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2426EF"/>
    <w:rsid w:val="4F401FBB"/>
    <w:rsid w:val="4F4F565B"/>
    <w:rsid w:val="4F531102"/>
    <w:rsid w:val="4F576D7F"/>
    <w:rsid w:val="4F5A4BC4"/>
    <w:rsid w:val="4F5C4001"/>
    <w:rsid w:val="4F626555"/>
    <w:rsid w:val="4F7933F9"/>
    <w:rsid w:val="4F7B2A3C"/>
    <w:rsid w:val="4F8144A4"/>
    <w:rsid w:val="4F8731AB"/>
    <w:rsid w:val="4F903087"/>
    <w:rsid w:val="4FA80752"/>
    <w:rsid w:val="4FAD3702"/>
    <w:rsid w:val="4FB23F6E"/>
    <w:rsid w:val="4FC27020"/>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C0B8D"/>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509EC"/>
    <w:rsid w:val="54D73DC0"/>
    <w:rsid w:val="54D94CB6"/>
    <w:rsid w:val="54DB3A57"/>
    <w:rsid w:val="54EA5084"/>
    <w:rsid w:val="55093E22"/>
    <w:rsid w:val="553266E7"/>
    <w:rsid w:val="553413DD"/>
    <w:rsid w:val="55367F4D"/>
    <w:rsid w:val="553A13A9"/>
    <w:rsid w:val="55440B0E"/>
    <w:rsid w:val="55444902"/>
    <w:rsid w:val="55494A31"/>
    <w:rsid w:val="554B1F27"/>
    <w:rsid w:val="555B6982"/>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300C7B"/>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DFF1CA4"/>
    <w:rsid w:val="5E033F14"/>
    <w:rsid w:val="5E035DFF"/>
    <w:rsid w:val="5E040059"/>
    <w:rsid w:val="5E0603B6"/>
    <w:rsid w:val="5E084C7B"/>
    <w:rsid w:val="5E0914A4"/>
    <w:rsid w:val="5E0A5C5D"/>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5519F"/>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B1EE0"/>
    <w:rsid w:val="667E1BDC"/>
    <w:rsid w:val="66843C27"/>
    <w:rsid w:val="668A358B"/>
    <w:rsid w:val="669F2DBA"/>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847A53"/>
    <w:rsid w:val="68910854"/>
    <w:rsid w:val="68972F63"/>
    <w:rsid w:val="68A208F6"/>
    <w:rsid w:val="68A864AF"/>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31B2F"/>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9F4CAA"/>
    <w:rsid w:val="6DA31ABE"/>
    <w:rsid w:val="6DB4326F"/>
    <w:rsid w:val="6DB61E3E"/>
    <w:rsid w:val="6DD12A4F"/>
    <w:rsid w:val="6DD63486"/>
    <w:rsid w:val="6DDE66DC"/>
    <w:rsid w:val="6DE62D4F"/>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E63697"/>
    <w:rsid w:val="71F723E8"/>
    <w:rsid w:val="7202528F"/>
    <w:rsid w:val="72196F07"/>
    <w:rsid w:val="721C71DD"/>
    <w:rsid w:val="72317074"/>
    <w:rsid w:val="72327484"/>
    <w:rsid w:val="723472E2"/>
    <w:rsid w:val="72357F64"/>
    <w:rsid w:val="72386A0D"/>
    <w:rsid w:val="7252252A"/>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A53844"/>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7"/>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2022-11-04T07:50:42Z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